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天津中医药大学第二附属医院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中西医结合疾病防治、急危重症救治、突发公共卫生事件救援、医疗援助、科学研究、医学教育、预防保健、中医药文化交流等任务，充分利用中医药技术方法和现代科学技术，以提供急危重症和疑难复杂疾病的中医诊疗服务和中医优势病种的中医门诊诊疗服务等中医药服务为主</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天津中医药大学第二附属医院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单位本级（内设74个职能科室）。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天津中医药大学第二附属医院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34628833.43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25226600.00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1411410686.72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1366310307.53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9395459.54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21144200.00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4082400.00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1480661579.69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1391686907.53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77400360.78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83926868.59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95501179.97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83926868.59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1564588448.28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1564588448.28</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天津中医药大学第二附属医院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1480661579.69</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59855433.43</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1411410686.72</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9395459.54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1455284979.69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34478833.43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1411410686.72</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9395459.54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1450189079.69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29382933.43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1411410686.72</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9395459.54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1450189079.69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29382933.43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1411410686.72</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9395459.54</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3612000.00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3612000.00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2418000.00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2418000.00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1194000.00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1194000.00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1483900.00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1483900.00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1483900.00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1483900.00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21144200.00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21144200.00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21144200.00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21144200.00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21144200.00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21144200.00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4082400.00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4082400.00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地方政府专项债务付息支出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4082400.00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4082400.00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2320498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4082400.00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4082400.00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天津中医药大学第二附属医院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1564588448.28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1480661579.69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34628833.43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25226600.00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1411410686.72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9395459.54</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330229</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天津中医药大学第二附属医院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1564588448.28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1480661579.69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34628833.43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25226600.00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1411410686.72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9395459.54</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天津中医药大学第二附属医院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83926868.59</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83926868.59</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83926868.59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330229</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天津中医药大学第二附属医院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83926868.59</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83926868.59</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83926868.59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天津中医药大学第二附属医院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1391686907.53</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1330417037.31</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61269870.22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1366310307.53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1330417037.31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35893270.22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1361214407.53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1326805037.31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34409370.22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中医（民族）医院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1361214407.53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1326805037.31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34409370.22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3612000.00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3612000.00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2418000.00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2418000.00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中医药事务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1483900.00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1483900.00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中医（民族医）药专项</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1483900.00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1483900.00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21144200.00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21144200.00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其他政府性基金及对应专项债务收入安排的支出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21144200.00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21144200.00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其他地方自行试点项目收益专项债券收入安排的支出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21144200.00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21144200.00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4082400.00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4082400.00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地方政府专项债务付息支出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4082400.00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4082400.00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2320498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其他地方自行试点项目收益专项债券付息支出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4082400.00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4082400.00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天津中医药大学第二附属医院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34628833.43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25226600.00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34478833.43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34478833.43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21144200.00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21144200.00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4082400.00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4082400.00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59855433.43</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59855433.43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34628833.43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25226600.00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59855433.43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59855433.43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34628833.43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25226600.00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天津中医药大学第二附属医院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34628833.43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26582816.00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25838816.00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744000.00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8046017.43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34478833.43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26582816.00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25838816.00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744000.00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7896017.43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29382933.43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22970816.00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22226816.00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744000.00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6412117.43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中医（民族）医院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29382933.43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22970816.00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22226816.00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744000.00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6412117.43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1194000.00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中医药事务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1483900.00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1483900.00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中医（民族医）药专项</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1483900.00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1483900.00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天津中医药大学第二附属医院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22089000.00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744000.00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12700000.00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744000.00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2938255.37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21744.63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3749816.00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281505.47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3453816.00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14494.53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25838816.00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744000.00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天津中医药大学第二附属医院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25226600.00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25226600.00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25226600.00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其他政府性基金及对应专项债务收入安排的支出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其他地方自行试点项目收益专项债券收入安排的支出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地方政府专项债务付息支出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其他地方自行试点项目收益专项债券付息支出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天津中医药大学第二附属医院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天津中医药大学第二附属医院2025年度国有资本经营预算财政拨款收入支出决算表为空表。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天津中医药大学第二附属医院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天津中医药大学第二附属医院2025年财政拨款“三公”经费支出决算表为空表。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天津中医药大学第二附属医院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61269870.22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8046017.43</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25226600.00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27997252.79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35893270.22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7896017.43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27997252.79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34409370.22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6412117.43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27997252.79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34409370.22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6412117.43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27997252.79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住院医师规范化培训-01直达资金-2024年医疗服务与保障能力提升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376200.00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376200.00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儿科医师岗位补助（2025年市级）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中医规培实践技能考核基地建设(2025年中央中医药事业传承与发展）（第二批）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国家中医优势专科建设（2025年中央中医药事业传承与发展）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1731435.05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1731435.05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第二批患者救治费用（2025年市级）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卫生健康质控中心管理（2025年市级）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卫生健康系统对口支援帮扶（2025年市级）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269384.00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269384.00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中医药事业创新发展（2025年市级）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372451.00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372451.00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重大疑难疾病中西医临床协作项目-01直达资金-2024年中医药事业传承与发展（第二批）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重大疑难疾病中西医临床协作项目（2025年中央中医药事业传承与发展）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279869.80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279869.80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中医药法治监督专项（2025年中央中医药事业传承与发展）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卓越中医药师资（中医规培骨干师资）培训（2025年中央中医药事业传承与发展）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99777.58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99777.58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天津中医药大学第二附属医院中医药传承创新工程（自有资金）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7507109.72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7507109.72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非财收入的科研项目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11265362.07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11265362.07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非财收入的非科研项目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9224781.00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9224781.00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1483900.00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1483900.00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1483900.00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1483900.00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高水平中医药重点学科-01直达资金-2024年中医药事业传承与发展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351400.00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351400.00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全国名老中医药专家传承工作室-01直达资金-2024年中医药事业传承与发展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中医馆骨干人才培训项目-01直达资金-2024年中医药事业传承与发展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中医优势专科-01直达资金-2024年中医药事业传承与发展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956900.00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956900.00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天津中医药大学第二附属医院中医药传承创新工程</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21144200.00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地方政府专项债务付息支出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专项债-中医药大学第二附属医院中医药传承创新工程（2025年专项债付息）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4082400.00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1,564,588,448.28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增加130,279,796.77元，增长9.08%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事业收入支出增加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一般公共预算财政拨款收入34,628,833.43元、政府性基金预算财政拨款收入25,226,600.00元、事业收入1,411,410,686.72元、其他收入9,395,459.54元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社会保障和就业支出150,000.00元、卫生健康支出1,366,310,307.53元、其他支出21,144,200.00元、债务付息支出4,082,400.00元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天津中医药大学第二附属医院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1,480,661,579.69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增加113,022,622.77元，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本年度新设和扩增病区，服务体量增加，运营状况持续变好，医疗收入增加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一般公共预算财政拨款收入34,628,833.43元，占2.34%；政府性基金预算财政拨款收入25,226,600.00元，占1.70%；事业收入1,411,410,686.72元，占95.33%；其他收入9,395,459.54元，占0.63%</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天津中医药大学第二附属医院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1,391,686,907.53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增加199,000,687.12元，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基本支出增加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基本支出1,330,417,037.31元，占95.60%；项目支出61,269,870.22元，占4.40%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59,855,433.43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增加17,634,896.00元，增长41.77%，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本年度中医药传承创新工程专项财政项目拨款收入较去年增加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一般公共预算财政拨款34,628,833.43元、政府性基金预算财政拨款25,226,600.00元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社会保障和就业支出150,000.00元、卫生健康支出34,478,833.43元、其他支出21,144,200.00元、债务付息支出4,082,400.00元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天津中医药大学第二附属医院2025年度一般公共预算财政拨款支出合计34,628,833.43元，占本年支出合计的2.49%。与2024年度相比，一般公共预算财政拨款支出</w:t>
      </w:r>
      <w:r>
        <w:rPr>
          <w:rFonts w:eastAsia="仿宋_GB2312" w:hint="eastAsia"/>
          <w:sz w:val="30"/>
          <w:szCs w:val="30"/>
          <w:highlight w:val="none"/>
          <w:lang w:val="en-US" w:eastAsia="zh-CN"/>
        </w:rPr>
        <w:t xml:space="preserve">减少1,370,723.15元</w:t>
      </w:r>
      <w:r>
        <w:rPr>
          <w:rFonts w:eastAsia="仿宋_GB2312" w:hint="eastAsia"/>
          <w:sz w:val="30"/>
          <w:szCs w:val="30"/>
          <w:highlight w:val="none"/>
          <w:lang w:val="en-US" w:eastAsia="zh-CN"/>
        </w:rPr>
        <w:t xml:space="preserve">，下降3.81%</w:t>
      </w:r>
      <w:r>
        <w:rPr>
          <w:rFonts w:eastAsia="仿宋_GB2312" w:hint="eastAsia"/>
          <w:sz w:val="30"/>
          <w:szCs w:val="30"/>
          <w:highlight w:val="none"/>
          <w:lang w:val="en-US" w:eastAsia="zh-CN"/>
        </w:rPr>
        <w:t xml:space="preserve">，主要原因是中医优势专科、中医药重点学科建设等财政拨款项目支出减少。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2025年度一般公共预算财政拨款支出34,628,833.43元，主要用于以下方面：</w:t>
      </w:r>
      <w:r>
        <w:rPr>
          <w:rFonts w:eastAsia="仿宋_GB2312" w:hint="eastAsia"/>
          <w:sz w:val="30"/>
          <w:szCs w:val="30"/>
          <w:highlight w:val="none"/>
        </w:rPr>
        <w:t xml:space="preserve">社会保障和就业支出（类）支出150,000.00元，占0.43%，卫生健康支出（类）支出34,478,833.43元，占99.57%</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2025年度一般公共预算财政拨款支出年初预算为35,069,100.00元，支出决算为34,628,833.43元</w:t>
      </w:r>
      <w:r>
        <w:rPr>
          <w:rFonts w:eastAsia="仿宋_GB2312" w:hint="eastAsia"/>
          <w:sz w:val="30"/>
          <w:szCs w:val="30"/>
          <w:highlight w:val="none"/>
          <w:lang w:val="en-US" w:eastAsia="zh-CN"/>
        </w:rPr>
        <w:t xml:space="preserve">，完成年初预算的98.74%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1.卫生健康支出（类）公立医院（款）中医（民族）医院（项）年初预算为29,943,200.00元，支出决算为29,382,933.43元，完成年初预算的98.13%，决算数小于年初预算数的主要原因是：依据项目进度结转下一年度执行。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2.卫生健康支出（类）行政事业单位医疗（款）事业单位医疗（项）年初预算为2,418,000.00元，支出决算为2,418,000.00元，完成年初预算的100.00%，决算数与年初预算数持平的主要原因是：严格按照预算执行。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其他行政事业单位医疗支出（项）年初预算为1,194,000.00元，支出决算为1,194,000.00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中医药事务（款）中医（民族医）药专项（项）年初预算为1,513,900.00元，支出决算为1,483,900.00元，完成年初预算的98.02%，决算数小于年初预算数的主要原因是：依据项目进度结转下一年度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天津中医药大学第二附属医院2025年度一般公共预算财政拨款基本支出合计26,582,816.00元，与2024年度相比</w:t>
      </w:r>
      <w:r>
        <w:rPr>
          <w:rFonts w:eastAsia="仿宋_GB2312" w:hint="eastAsia"/>
          <w:sz w:val="30"/>
          <w:szCs w:val="30"/>
          <w:highlight w:val="none"/>
          <w:lang w:val="en-US" w:eastAsia="zh-CN"/>
        </w:rPr>
        <w:t xml:space="preserve">增加664,616.00元，</w:t>
      </w:r>
      <w:r>
        <w:rPr>
          <w:rFonts w:eastAsia="仿宋_GB2312" w:hint="eastAsia"/>
          <w:sz w:val="30"/>
          <w:szCs w:val="30"/>
          <w:highlight w:val="none"/>
          <w:lang w:val="en-US" w:eastAsia="zh-CN"/>
        </w:rPr>
        <w:t xml:space="preserve">主要原因是本年度公用经费增加。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人员经费25,838,816.00元，主要包括</w:t>
      </w:r>
      <w:r>
        <w:rPr>
          <w:rFonts w:eastAsia="仿宋_GB2312" w:hint="eastAsia"/>
          <w:sz w:val="30"/>
          <w:szCs w:val="30"/>
          <w:highlight w:val="none"/>
          <w:lang w:val="en-US" w:eastAsia="zh-CN"/>
        </w:rPr>
        <w:t xml:space="preserve">机关事业单位基本养老保险缴费、职业年金缴费、职工基本医疗保险缴费、其他社会保障缴费、医疗费、离休费、退休费、医疗费补助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公用经费744,000.00元，主要包括</w:t>
      </w:r>
      <w:r>
        <w:rPr>
          <w:rFonts w:eastAsia="仿宋_GB2312" w:hint="eastAsia"/>
          <w:sz w:val="30"/>
          <w:szCs w:val="30"/>
          <w:highlight w:val="none"/>
          <w:lang w:val="en-US" w:eastAsia="zh-CN"/>
        </w:rPr>
        <w:t xml:space="preserve">取暖费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天津中医药大学第二附属医院2025年度政府性基金预算财政拨款年初结转和结余0.00元，收入25,226,600.00元，支出25,226,600.00元，年末结转和结余0.00元。与2024年度相比，政府性基金预算财政拨款支出</w:t>
      </w:r>
      <w:r>
        <w:rPr>
          <w:rFonts w:eastAsia="仿宋_GB2312" w:hint="eastAsia"/>
          <w:sz w:val="30"/>
          <w:szCs w:val="30"/>
          <w:highlight w:val="none"/>
          <w:lang w:val="en-US" w:eastAsia="zh-CN"/>
        </w:rPr>
        <w:t xml:space="preserve">增加19,005,619.15元，</w:t>
      </w:r>
      <w:r>
        <w:rPr>
          <w:rFonts w:eastAsia="仿宋_GB2312" w:hint="eastAsia"/>
          <w:sz w:val="30"/>
          <w:szCs w:val="30"/>
          <w:highlight w:val="none"/>
          <w:lang w:val="en-US" w:eastAsia="zh-CN"/>
        </w:rPr>
        <w:t xml:space="preserve">增长305.51%，</w:t>
      </w:r>
      <w:r>
        <w:rPr>
          <w:rFonts w:eastAsia="仿宋_GB2312" w:hint="eastAsia"/>
          <w:sz w:val="30"/>
          <w:szCs w:val="30"/>
          <w:highlight w:val="none"/>
          <w:lang w:val="en-US" w:eastAsia="zh-CN"/>
        </w:rPr>
        <w:t xml:space="preserve">主要原因是中医药传承创新工程项目经费增加。</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2025年度政府性基金预算财政拨款支出25,226,600.00元，主要用于以下方面：</w:t>
      </w:r>
      <w:r>
        <w:rPr>
          <w:rFonts w:eastAsia="仿宋_GB2312" w:hint="eastAsia"/>
          <w:sz w:val="28"/>
          <w:szCs w:val="28"/>
          <w:highlight w:val="none"/>
        </w:rPr>
        <w:t xml:space="preserve">其他支出（类）支出21,144,200.00元，占83.82%，债务付息支出（类）支出4,082,400.00元，占16.18%</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2025年度政府性基金预算财政拨款支出年初预算为25,226,600.00元，支出决算为25,226,600.00元</w:t>
      </w:r>
      <w:r>
        <w:rPr>
          <w:rFonts w:eastAsia="仿宋_GB2312" w:hint="eastAsia"/>
          <w:sz w:val="30"/>
          <w:szCs w:val="30"/>
          <w:highlight w:val="none"/>
          <w:lang w:val="en-US" w:eastAsia="zh-CN"/>
        </w:rPr>
        <w:t xml:space="preserve">，完成年初预算的100.00%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其他支出（类）其他政府性基金及对应专项债务收入安排的支出（款）其他地方自行试点项目收益专项债券收入安排的支出（项）年初预算为21,144,200.00元，支出决算为21,144,200.00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债务付息支出（类）地方政府专项债务付息支出（款）其他地方自行试点项目收益专项债券付息支出（项）年初预算为4,082,400.00元，支出决算为4,082,400.00元，完成年初预算的100.00%，决算数与年初预算数持平的主要原因是：严格按照预算执行。</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医药大学第二附属医院2025年政府采购支出总额89,911,862.86元，其中：政府采购货物支出23,426,623.00元、政府采购工程支出0.00元、政府采购服务支出66,485,239.86元。授予中小企业合同金额78,077,294.86元，占政府采购支出总额的86.84%，其中：授予小微企业合同金额61,700,139.25元，占政府采购支出总额的68.62%；货物采购授予中小企业合同金额占货物支出金额的77.13%，工程采购授予中小企业合同金额占工程支出金额的0.00%，服务采购授予中小企业合同金额占服务支出金额的90.26%。</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截至2025年12月31日，天津中医药大学第二附属医院共有车辆3辆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其他用车3辆</w:t>
      </w:r>
      <w:r>
        <w:rPr>
          <w:rFonts w:eastAsia="仿宋_GB2312" w:hint="eastAsia"/>
          <w:sz w:val="30"/>
          <w:szCs w:val="30"/>
          <w:highlight w:val="none"/>
          <w:lang w:val="en-US" w:eastAsia="zh-CN"/>
        </w:rPr>
        <w:t xml:space="preserve">，其他用车主要包括后勤保障用车2辆和必要的业务用车1辆</w:t>
      </w:r>
      <w:r>
        <w:rPr>
          <w:rFonts w:eastAsia="仿宋_GB2312" w:hint="eastAsia"/>
          <w:sz w:val="30"/>
          <w:szCs w:val="30"/>
          <w:highlight w:val="none"/>
          <w:lang w:val="en-US" w:eastAsia="zh-CN"/>
        </w:rPr>
        <w:t xml:space="preserve">。单价100万元以上的设备56台（套）。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根据预算绩效管理要求，天津中医药大学第二附属医院2025年度已对11个市级项目开展绩效自评，涉及金额806,597,600.00元，自评结果已随部门决算一并公开。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天津中医药大学第二附属医院不属于乡、镇、街级单位，不涉及公开2025年度教育、医疗卫生、社会保障和就业、住房保障、涉农补贴等民生支出情况。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449B22BD-62A5-42BE-96A8-10248B90CF86}"/>
    <w:embedBold r:id="rId2" w:subsetted="1" w:fontKey="{B7CED4E4-E372-46B2-BEF3-8A94D2D1AF54}"/>
  </w:font>
  <w:font w:name="Cambria">
    <w:panose1 w:val="02040503050406030204"/>
    <w:charset w:val="00"/>
    <w:family w:val="roman"/>
    <w:pitch w:val="default"/>
    <w:sig w:usb0="E00006FF" w:usb1="420024FF" w:usb2="02000000" w:usb3="00000000" w:csb0="2000019F" w:csb1="00000000"/>
    <w:embedRegular r:id="rId3" w:fontKey="{98F09DB7-3F55-4A9B-B123-A91C1B1AD437}"/>
  </w:font>
  <w:font w:name="Calibri">
    <w:panose1 w:val="020F0502020204030204"/>
    <w:charset w:val="00"/>
    <w:family w:val="swiss"/>
    <w:pitch w:val="default"/>
    <w:sig w:usb0="E4002EFF" w:usb1="C200247B" w:usb2="00000009" w:usb3="00000000" w:csb0="200001FF" w:csb1="00000000"/>
    <w:embedRegular r:id="rId4" w:fontKey="{32F6D58F-6A80-4B8C-9AA3-31F38AC69220}"/>
  </w:font>
  <w:font w:name="黑体">
    <w:panose1 w:val="02010609060101010101"/>
    <w:charset w:val="FFFFFF86"/>
    <w:family w:val="auto"/>
    <w:pitch w:val="default"/>
    <w:sig w:usb0="800002BF" w:usb1="38CF7CFA" w:usb2="00000016" w:usb3="00000000" w:csb0="00040001" w:csb1="00000000"/>
    <w:embedRegular r:id="rId5" w:subsetted="1" w:fontKey="{5EDAAF91-A19C-409F-8D1F-C2EAB0A5037D}"/>
    <w:embedBold r:id="rId6" w:subsetted="1" w:fontKey="{7D7991EB-59C5-4A00-B114-874D0314294E}"/>
  </w:font>
  <w:font w:name="方正小标宋简体">
    <w:altName w:val="黑体"/>
    <w:panose1 w:val="02000000000000000000"/>
    <w:charset w:val="FFFFFF86"/>
    <w:family w:val="auto"/>
    <w:pitch w:val="default"/>
    <w:sig w:usb0="00000001" w:usb1="08000000" w:usb2="00000000" w:usb3="00000000" w:csb0="00040000" w:csb1="00000000"/>
    <w:embedRegular r:id="rId7" w:fontKey="{7805C4A2-99E4-4CC9-A6A3-BDF69FCBD6E9}"/>
    <w:embedBold r:id="rId8" w:fontKey="{22030C8D-1D86-412D-BCA5-A5044B916C4B}"/>
  </w:font>
  <w:font w:name="仿宋">
    <w:panose1 w:val="02010609060101010101"/>
    <w:charset w:val="FFFFFF86"/>
    <w:family w:val="auto"/>
    <w:pitch w:val="default"/>
    <w:sig w:usb0="800002BF" w:usb1="38CF7CFA" w:usb2="00000016" w:usb3="00000000" w:csb0="00040001" w:csb1="00000000"/>
    <w:embedRegular r:id="rId9" w:subsetted="1" w:fontKey="{B34BA692-C8A8-4BD2-8D5D-570276EF386C}"/>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2A0BDE7E-896E-47B9-8F91-7DEDA7AE21B7}"/>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B61B3A36-0C5E-4D56-AB53-3BB5F4B9824F}"/>
    <w:embedBold r:id="rId12" w:subsetted="1" w:fontKey="{84645E7D-A778-4646-85DB-E05B952552D5}"/>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23</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32</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35</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