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50F98ED5">
      <w:pPr>
        <w:widowControl/>
        <w:spacing w:line="360" w:lineRule="auto"/>
        <w:ind w:firstLine="1120" w:firstLineChars="350"/>
        <w:jc w:val="both"/>
        <w:rPr>
          <w:rFonts w:hint="eastAsia"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中药自动调剂设备采购项目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7536821D">
      <w:pPr>
        <w:autoSpaceDN w:val="0"/>
        <w:spacing w:line="360" w:lineRule="auto"/>
        <w:jc w:val="center"/>
        <w:rPr>
          <w:rFonts w:hint="eastAsia" w:asciiTheme="majorEastAsia" w:hAnsiTheme="majorEastAsia" w:eastAsiaTheme="majorEastAsia" w:cstheme="majorEastAsia"/>
          <w:b/>
          <w:bCs/>
          <w:sz w:val="40"/>
          <w:szCs w:val="40"/>
        </w:rPr>
        <w:sectPr>
          <w:pgSz w:w="11906" w:h="16838"/>
          <w:pgMar w:top="1100" w:right="1066" w:bottom="1100" w:left="1066" w:header="851" w:footer="992" w:gutter="0"/>
          <w:cols w:space="425" w:num="1"/>
          <w:docGrid w:type="lines" w:linePitch="312" w:charSpace="0"/>
        </w:sectPr>
      </w:pPr>
    </w:p>
    <w:p w14:paraId="65BA5F0E">
      <w:pPr>
        <w:autoSpaceDN w:val="0"/>
        <w:spacing w:line="360" w:lineRule="auto"/>
        <w:jc w:val="center"/>
        <w:rPr>
          <w:rFonts w:hint="eastAsia" w:asciiTheme="majorEastAsia" w:hAnsiTheme="majorEastAsia" w:eastAsiaTheme="majorEastAsia" w:cstheme="majorEastAsia"/>
          <w:b/>
          <w:bCs/>
          <w:sz w:val="40"/>
          <w:szCs w:val="40"/>
          <w:lang w:eastAsia="zh-CN"/>
        </w:rPr>
      </w:pPr>
      <w:r>
        <w:rPr>
          <w:rFonts w:hint="eastAsia" w:asciiTheme="majorEastAsia" w:hAnsiTheme="majorEastAsia" w:eastAsiaTheme="majorEastAsia" w:cstheme="majorEastAsia"/>
          <w:b/>
          <w:bCs/>
          <w:sz w:val="40"/>
          <w:szCs w:val="40"/>
          <w:lang w:eastAsia="zh-CN"/>
        </w:rPr>
        <w:t>基本项目需求</w:t>
      </w:r>
    </w:p>
    <w:p w14:paraId="4B9190E0">
      <w:pPr>
        <w:autoSpaceDN w:val="0"/>
        <w:spacing w:line="360" w:lineRule="auto"/>
        <w:jc w:val="center"/>
        <w:rPr>
          <w:rFonts w:hint="eastAsia" w:asciiTheme="majorEastAsia" w:hAnsiTheme="majorEastAsia" w:eastAsiaTheme="majorEastAsia" w:cstheme="majorEastAsia"/>
          <w:b/>
          <w:bCs/>
          <w:sz w:val="40"/>
          <w:szCs w:val="40"/>
          <w:lang w:eastAsia="zh-CN"/>
        </w:rPr>
      </w:pPr>
    </w:p>
    <w:p w14:paraId="327113F9">
      <w:pPr>
        <w:autoSpaceDN w:val="0"/>
        <w:spacing w:line="360" w:lineRule="auto"/>
        <w:ind w:firstLine="402" w:firstLineChars="100"/>
        <w:jc w:val="both"/>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1.调剂速度：150方/小时或以上</w:t>
      </w:r>
    </w:p>
    <w:p w14:paraId="32DE2813">
      <w:pPr>
        <w:autoSpaceDN w:val="0"/>
        <w:spacing w:line="360" w:lineRule="auto"/>
        <w:ind w:firstLine="402" w:firstLineChars="100"/>
        <w:jc w:val="both"/>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2.大部分药材可自动调配（240种以上）</w:t>
      </w:r>
    </w:p>
    <w:p w14:paraId="6D7E6A0F">
      <w:pPr>
        <w:autoSpaceDN w:val="0"/>
        <w:spacing w:line="360" w:lineRule="auto"/>
        <w:ind w:firstLine="402" w:firstLineChars="100"/>
        <w:jc w:val="both"/>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3.药品前处理便捷，不需前处理者优先考虑</w:t>
      </w:r>
    </w:p>
    <w:p w14:paraId="4DCDA9FB">
      <w:pPr>
        <w:autoSpaceDN w:val="0"/>
        <w:spacing w:line="360" w:lineRule="auto"/>
        <w:ind w:firstLine="402" w:firstLineChars="100"/>
        <w:jc w:val="both"/>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4.具备与煎药设备对接的能力</w:t>
      </w:r>
    </w:p>
    <w:p w14:paraId="1CB396BE">
      <w:pPr>
        <w:autoSpaceDN w:val="0"/>
        <w:spacing w:line="360" w:lineRule="auto"/>
        <w:ind w:firstLine="402" w:firstLineChars="100"/>
        <w:jc w:val="both"/>
        <w:rPr>
          <w:rFonts w:hint="eastAsia" w:asciiTheme="majorEastAsia" w:hAnsiTheme="majorEastAsia" w:eastAsiaTheme="majorEastAsia" w:cstheme="majorEastAsia"/>
          <w:b/>
          <w:bCs/>
          <w:sz w:val="40"/>
          <w:szCs w:val="40"/>
          <w:lang w:val="en-US" w:eastAsia="zh-CN"/>
        </w:rPr>
      </w:pPr>
      <w:r>
        <w:rPr>
          <w:rFonts w:hint="eastAsia" w:asciiTheme="majorEastAsia" w:hAnsiTheme="majorEastAsia" w:eastAsiaTheme="majorEastAsia" w:cstheme="majorEastAsia"/>
          <w:b/>
          <w:bCs/>
          <w:sz w:val="40"/>
          <w:szCs w:val="40"/>
          <w:lang w:val="en-US" w:eastAsia="zh-CN"/>
        </w:rPr>
        <w:t>5.全部环节可追溯</w:t>
      </w:r>
    </w:p>
    <w:p w14:paraId="3DF0F345">
      <w:pPr>
        <w:autoSpaceDN w:val="0"/>
        <w:spacing w:line="360" w:lineRule="auto"/>
        <w:jc w:val="center"/>
        <w:rPr>
          <w:rFonts w:hint="eastAsia" w:asciiTheme="majorEastAsia" w:hAnsiTheme="majorEastAsia" w:eastAsiaTheme="majorEastAsia" w:cstheme="majorEastAsia"/>
          <w:b/>
          <w:bCs/>
          <w:sz w:val="40"/>
          <w:szCs w:val="40"/>
          <w:lang w:eastAsia="zh-CN"/>
        </w:rPr>
      </w:pPr>
    </w:p>
    <w:p w14:paraId="1E1A48BF">
      <w:pPr>
        <w:autoSpaceDN w:val="0"/>
        <w:spacing w:line="360" w:lineRule="auto"/>
        <w:jc w:val="center"/>
        <w:rPr>
          <w:rFonts w:hint="eastAsia" w:asciiTheme="majorEastAsia" w:hAnsiTheme="majorEastAsia" w:eastAsiaTheme="majorEastAsia" w:cstheme="majorEastAsia"/>
          <w:b/>
          <w:bCs/>
          <w:sz w:val="40"/>
          <w:szCs w:val="40"/>
          <w:lang w:eastAsia="zh-CN"/>
        </w:rPr>
        <w:sectPr>
          <w:pgSz w:w="11906" w:h="16838"/>
          <w:pgMar w:top="1100" w:right="1066" w:bottom="1100" w:left="1066" w:header="851" w:footer="992" w:gutter="0"/>
          <w:cols w:space="425" w:num="1"/>
          <w:docGrid w:type="lines" w:linePitch="312" w:charSpace="0"/>
        </w:sect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kern w:val="2"/>
          <w:sz w:val="32"/>
          <w:szCs w:val="24"/>
          <w:lang w:val="en-US" w:eastAsia="zh-CN" w:bidi="ar-SA"/>
        </w:rPr>
        <w:t>一、</w:t>
      </w: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kern w:val="2"/>
          <w:sz w:val="32"/>
          <w:szCs w:val="24"/>
          <w:lang w:val="en-US" w:eastAsia="zh-CN" w:bidi="ar-SA"/>
        </w:rPr>
        <w:t>二、</w:t>
      </w: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w:t>
      </w:r>
      <w:r>
        <w:rPr>
          <w:rFonts w:hint="eastAsia" w:asciiTheme="majorEastAsia" w:hAnsiTheme="majorEastAsia" w:eastAsiaTheme="majorEastAsia" w:cstheme="majorEastAsia"/>
          <w:b/>
          <w:bCs/>
          <w:sz w:val="32"/>
          <w:szCs w:val="24"/>
          <w:lang w:eastAsia="zh-CN"/>
        </w:rPr>
        <w:t>供应商</w:t>
      </w:r>
      <w:r>
        <w:rPr>
          <w:rFonts w:hint="eastAsia" w:asciiTheme="majorEastAsia" w:hAnsiTheme="majorEastAsia" w:eastAsiaTheme="majorEastAsia" w:cstheme="majorEastAsia"/>
          <w:b/>
          <w:bCs/>
          <w:sz w:val="32"/>
          <w:szCs w:val="24"/>
        </w:rPr>
        <w:t>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w:t>
      </w:r>
      <w:r>
        <w:rPr>
          <w:rFonts w:hint="eastAsia" w:asciiTheme="majorEastAsia" w:hAnsiTheme="majorEastAsia" w:eastAsiaTheme="majorEastAsia" w:cstheme="majorEastAsia"/>
          <w:b/>
          <w:bCs/>
          <w:sz w:val="32"/>
          <w:szCs w:val="24"/>
          <w:lang w:eastAsia="zh-CN"/>
        </w:rPr>
        <w:t>供应商</w:t>
      </w:r>
      <w:r>
        <w:rPr>
          <w:rFonts w:hint="eastAsia" w:asciiTheme="majorEastAsia" w:hAnsiTheme="majorEastAsia" w:eastAsiaTheme="majorEastAsia" w:cstheme="majorEastAsia"/>
          <w:b/>
          <w:bCs/>
          <w:sz w:val="32"/>
          <w:szCs w:val="24"/>
        </w:rPr>
        <w:t>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3"/>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729F9933">
      <w:pPr>
        <w:keepNext w:val="0"/>
        <w:keepLines w:val="0"/>
        <w:pageBreakBefore w:val="0"/>
        <w:widowControl w:val="0"/>
        <w:numPr>
          <w:ilvl w:val="0"/>
          <w:numId w:val="3"/>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3"/>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3"/>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45EC3803">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4B97DBB0">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374FFD88">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2A8B1915">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4B8A6FC9">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1696B7C3">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514B546A">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182936C8">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35954FE6">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4AAFC5D3">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val="0"/>
          <w:bCs w:val="0"/>
          <w:sz w:val="22"/>
          <w:szCs w:val="22"/>
          <w:lang w:eastAsia="zh-CN"/>
        </w:rPr>
      </w:pP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bookmarkStart w:id="2" w:name="_GoBack"/>
      <w:bookmarkEnd w:id="2"/>
      <w:r>
        <w:rPr>
          <w:rFonts w:hint="eastAsia" w:ascii="Calibri" w:hAnsi="Calibri" w:eastAsia="宋体" w:cs="Times New Roman"/>
          <w:b w:val="0"/>
          <w:bCs w:val="0"/>
          <w:sz w:val="22"/>
          <w:szCs w:val="22"/>
          <w:lang w:val="en-US" w:eastAsia="zh-CN"/>
        </w:rPr>
        <w:t>：</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总务基建科</w:t>
      </w:r>
      <w:r>
        <w:rPr>
          <w:rFonts w:ascii="宋体" w:hAnsi="宋体" w:eastAsia="宋体" w:cs="宋体"/>
          <w:b/>
          <w:bCs/>
          <w:sz w:val="28"/>
          <w:szCs w:val="28"/>
        </w:rPr>
        <w:t>邮箱：</w:t>
      </w:r>
      <w:r>
        <w:rPr>
          <w:sz w:val="20"/>
          <w:szCs w:val="21"/>
        </w:rPr>
        <w:fldChar w:fldCharType="begin"/>
      </w:r>
      <w:r>
        <w:rPr>
          <w:sz w:val="20"/>
          <w:szCs w:val="21"/>
        </w:rPr>
        <w:instrText xml:space="preserve"> HYPERLINK "mailto:tjzyefyzb2016@126.com" </w:instrText>
      </w:r>
      <w:r>
        <w:rPr>
          <w:sz w:val="20"/>
          <w:szCs w:val="21"/>
        </w:rPr>
        <w:fldChar w:fldCharType="separate"/>
      </w:r>
      <w:r>
        <w:rPr>
          <w:rStyle w:val="14"/>
          <w:rFonts w:hint="eastAsia" w:ascii="仿宋" w:hAnsi="仿宋" w:eastAsia="仿宋" w:cs="仿宋"/>
          <w:spacing w:val="-9"/>
          <w:kern w:val="0"/>
          <w:sz w:val="28"/>
          <w:szCs w:val="28"/>
          <w:lang w:val="en-US" w:eastAsia="zh-CN"/>
        </w:rPr>
        <w:t>zyefyzwk@163</w:t>
      </w:r>
      <w:r>
        <w:rPr>
          <w:rStyle w:val="14"/>
          <w:rFonts w:ascii="仿宋" w:hAnsi="仿宋" w:eastAsia="仿宋" w:cs="仿宋"/>
          <w:spacing w:val="-9"/>
          <w:kern w:val="0"/>
          <w:sz w:val="28"/>
          <w:szCs w:val="28"/>
        </w:rPr>
        <w:t>.com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lang w:eastAsia="zh-CN"/>
        </w:rPr>
        <w:t>总务基建科</w:t>
      </w:r>
      <w:r>
        <w:rPr>
          <w:rFonts w:ascii="宋体" w:hAnsi="宋体" w:eastAsia="宋体" w:cs="宋体"/>
          <w:b/>
          <w:bCs/>
          <w:sz w:val="28"/>
          <w:szCs w:val="28"/>
        </w:rPr>
        <w:t>提交纸质版。</w:t>
      </w:r>
    </w:p>
    <w:p w14:paraId="0009B9E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总务基建科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总务基建科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lang w:eastAsia="zh-CN"/>
        </w:rPr>
        <w:t>设备</w:t>
      </w:r>
      <w:r>
        <w:rPr>
          <w:rFonts w:hint="eastAsia" w:ascii="Times New Roman" w:hAnsi="Times New Roman" w:eastAsia="方正小标宋简体" w:cs="Times New Roman"/>
          <w:kern w:val="0"/>
          <w:sz w:val="40"/>
          <w:szCs w:val="40"/>
        </w:rPr>
        <w:t>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0"/>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四、</w:t>
      </w: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lang w:eastAsia="zh-CN"/>
        </w:rPr>
        <w:t>来院</w:t>
      </w:r>
      <w:r>
        <w:rPr>
          <w:rFonts w:hint="eastAsia" w:ascii="Times New Roman" w:hAnsi="Times New Roman" w:eastAsia="方正小标宋简体" w:cs="Times New Roman"/>
          <w:kern w:val="0"/>
          <w:sz w:val="40"/>
          <w:szCs w:val="40"/>
        </w:rPr>
        <w:t>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授权推广的设备信息和应用领域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.制造商营业执照、生产企业许可证/备案证明。</w:t>
      </w:r>
    </w:p>
    <w:p w14:paraId="73F4795A">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3</w:t>
      </w:r>
      <w:r>
        <w:rPr>
          <w:rFonts w:hint="eastAsia" w:ascii="仿宋" w:hAnsi="仿宋" w:eastAsia="仿宋" w:cs="仿宋"/>
          <w:sz w:val="32"/>
          <w:szCs w:val="40"/>
        </w:rPr>
        <w:t>.</w:t>
      </w:r>
      <w:r>
        <w:rPr>
          <w:rFonts w:hint="eastAsia" w:ascii="仿宋" w:hAnsi="仿宋" w:eastAsia="仿宋" w:cs="仿宋"/>
          <w:sz w:val="32"/>
          <w:szCs w:val="40"/>
          <w:lang w:eastAsia="zh-CN"/>
        </w:rPr>
        <w:t>其他涉及产品、耗材的资质文件。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FB02629-2068-4AAE-A1BB-54B8C8F4F715}"/>
  </w:font>
  <w:font w:name="Arial">
    <w:panose1 w:val="020B0604020202020204"/>
    <w:charset w:val="01"/>
    <w:family w:val="swiss"/>
    <w:pitch w:val="default"/>
    <w:sig w:usb0="E0002EFF" w:usb1="C000785B" w:usb2="00000009" w:usb3="00000000" w:csb0="400001FF" w:csb1="FFFF0000"/>
    <w:embedRegular r:id="rId2" w:fontKey="{023DF496-994F-4767-B483-E2B19799EF39}"/>
  </w:font>
  <w:font w:name="黑体">
    <w:panose1 w:val="02010609060101010101"/>
    <w:charset w:val="86"/>
    <w:family w:val="auto"/>
    <w:pitch w:val="default"/>
    <w:sig w:usb0="800002BF" w:usb1="38CF7CFA" w:usb2="00000016" w:usb3="00000000" w:csb0="00040001" w:csb1="00000000"/>
    <w:embedRegular r:id="rId3" w:fontKey="{F681BDBF-4DB2-47FD-B1AC-3DE6486D44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0B3F6178-9D6E-482F-81CE-E7C8058CD235}"/>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FE36A780-982E-4808-BF3D-0180D5F3D510}"/>
  </w:font>
  <w:font w:name="方正小标宋简体">
    <w:panose1 w:val="02000000000000000000"/>
    <w:charset w:val="86"/>
    <w:family w:val="script"/>
    <w:pitch w:val="default"/>
    <w:sig w:usb0="00000001" w:usb1="08000000" w:usb2="00000000" w:usb3="00000000" w:csb0="00040000" w:csb1="00000000"/>
    <w:embedRegular r:id="rId6" w:fontKey="{007DF733-10DA-468D-8C15-B4FCECFF7697}"/>
  </w:font>
  <w:font w:name="华文楷体">
    <w:panose1 w:val="02010600040101010101"/>
    <w:charset w:val="86"/>
    <w:family w:val="auto"/>
    <w:pitch w:val="default"/>
    <w:sig w:usb0="00000287" w:usb1="080F0000" w:usb2="00000000" w:usb3="00000000" w:csb0="0004009F" w:csb1="DFD70000"/>
    <w:embedRegular r:id="rId7" w:fontKey="{3B589F5C-822E-4ABB-85B5-89A2BF738DE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318C2D"/>
    <w:multiLevelType w:val="singleLevel"/>
    <w:tmpl w:val="3C318C2D"/>
    <w:lvl w:ilvl="0" w:tentative="0">
      <w:start w:val="1"/>
      <w:numFmt w:val="chineseCounting"/>
      <w:suff w:val="nothing"/>
      <w:lvlText w:val="%1、"/>
      <w:lvlJc w:val="left"/>
      <w:rPr>
        <w:rFonts w:hint="eastAsia"/>
      </w:rPr>
    </w:lvl>
  </w:abstractNum>
  <w:abstractNum w:abstractNumId="4">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3F31657"/>
    <w:rsid w:val="14FE2F72"/>
    <w:rsid w:val="156E2AB2"/>
    <w:rsid w:val="16F77107"/>
    <w:rsid w:val="18BC23B6"/>
    <w:rsid w:val="19012414"/>
    <w:rsid w:val="19202945"/>
    <w:rsid w:val="1B900871"/>
    <w:rsid w:val="1B965141"/>
    <w:rsid w:val="1D8A4831"/>
    <w:rsid w:val="1F30164D"/>
    <w:rsid w:val="1F792DAF"/>
    <w:rsid w:val="20774389"/>
    <w:rsid w:val="20B85C6A"/>
    <w:rsid w:val="21AD4F92"/>
    <w:rsid w:val="229E16E2"/>
    <w:rsid w:val="23C463ED"/>
    <w:rsid w:val="24062738"/>
    <w:rsid w:val="24D61B28"/>
    <w:rsid w:val="25761FE8"/>
    <w:rsid w:val="266D2F42"/>
    <w:rsid w:val="29A924E3"/>
    <w:rsid w:val="2B976DBF"/>
    <w:rsid w:val="2EE03B0D"/>
    <w:rsid w:val="2F210272"/>
    <w:rsid w:val="2FB2501E"/>
    <w:rsid w:val="30D20571"/>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27042BF"/>
    <w:rsid w:val="542E16B3"/>
    <w:rsid w:val="56372AA1"/>
    <w:rsid w:val="57CA34A1"/>
    <w:rsid w:val="585C67EF"/>
    <w:rsid w:val="5960230F"/>
    <w:rsid w:val="5CB51DAA"/>
    <w:rsid w:val="5D094A6B"/>
    <w:rsid w:val="5D3B5C90"/>
    <w:rsid w:val="5DAF539F"/>
    <w:rsid w:val="5E287173"/>
    <w:rsid w:val="5F801822"/>
    <w:rsid w:val="62720C87"/>
    <w:rsid w:val="63030BED"/>
    <w:rsid w:val="63041F5D"/>
    <w:rsid w:val="649E123B"/>
    <w:rsid w:val="652415DF"/>
    <w:rsid w:val="6550176C"/>
    <w:rsid w:val="66792278"/>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71B75E2"/>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2369</Words>
  <Characters>2468</Characters>
  <Lines>13</Lines>
  <Paragraphs>3</Paragraphs>
  <TotalTime>1</TotalTime>
  <ScaleCrop>false</ScaleCrop>
  <LinksUpToDate>false</LinksUpToDate>
  <CharactersWithSpaces>3092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慕阳子卓</cp:lastModifiedBy>
  <cp:lastPrinted>2024-05-27T09:47:00Z</cp:lastPrinted>
  <dcterms:modified xsi:type="dcterms:W3CDTF">2025-07-08T03:03:04Z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697872BE72DD4588BBA7EB780809D6EA_13</vt:lpwstr>
  </property>
  <property fmtid="{D5CDD505-2E9C-101B-9397-08002B2CF9AE}" pid="4" name="KSOTemplateDocerSaveRecord">
    <vt:lpwstr>eyJoZGlkIjoiZDg4OGRjODU0ZDVmNjhiYjEzZmRjMjM3NjliNWUxYmEiLCJ1c2VySWQiOiIzMDI3ODYxMjcifQ==</vt:lpwstr>
  </property>
</Properties>
</file>