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天津中医药大学第二附属医院2022年第一批公开招聘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（博士及高级职称医疗人员）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黑体" w:hAnsi="黑体" w:eastAsia="黑体"/>
          <w:sz w:val="32"/>
          <w:szCs w:val="32"/>
          <w:highlight w:val="none"/>
        </w:rPr>
        <w:t>人员笔试防疫与安全须知</w:t>
      </w:r>
    </w:p>
    <w:bookmarkEnd w:id="0"/>
    <w:p>
      <w:pPr>
        <w:numPr>
          <w:ilvl w:val="0"/>
          <w:numId w:val="1"/>
        </w:numPr>
        <w:adjustRightInd w:val="0"/>
        <w:spacing w:line="588" w:lineRule="exact"/>
        <w:ind w:firstLine="640" w:firstLineChars="200"/>
        <w:textAlignment w:val="baseline"/>
        <w:outlineLvl w:val="0"/>
        <w:rPr>
          <w:rFonts w:eastAsia="黑体"/>
          <w:kern w:val="0"/>
          <w:sz w:val="32"/>
          <w:szCs w:val="32"/>
          <w:highlight w:val="none"/>
        </w:rPr>
      </w:pPr>
      <w:r>
        <w:rPr>
          <w:rFonts w:eastAsia="黑体"/>
          <w:kern w:val="0"/>
          <w:sz w:val="32"/>
          <w:szCs w:val="32"/>
          <w:highlight w:val="none"/>
        </w:rPr>
        <w:t>如实申报健康信息</w:t>
      </w:r>
    </w:p>
    <w:p>
      <w:pPr>
        <w:adjustRightInd w:val="0"/>
        <w:spacing w:line="588" w:lineRule="exact"/>
        <w:textAlignment w:val="baseline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eastAsia="仿宋_GB2312"/>
          <w:kern w:val="0"/>
          <w:sz w:val="32"/>
          <w:szCs w:val="32"/>
          <w:highlight w:val="none"/>
        </w:rPr>
        <w:t xml:space="preserve">    （一）考生应于</w:t>
      </w:r>
      <w:r>
        <w:rPr>
          <w:rFonts w:hint="eastAsia" w:eastAsia="仿宋_GB2312"/>
          <w:kern w:val="0"/>
          <w:sz w:val="32"/>
          <w:szCs w:val="32"/>
          <w:highlight w:val="none"/>
        </w:rPr>
        <w:t>考</w:t>
      </w:r>
      <w:r>
        <w:rPr>
          <w:rFonts w:eastAsia="仿宋_GB2312"/>
          <w:kern w:val="0"/>
          <w:sz w:val="32"/>
          <w:szCs w:val="32"/>
          <w:highlight w:val="none"/>
        </w:rPr>
        <w:t>前使用本人手机通过“津心办”APP等渠道申领“天津健康码”</w:t>
      </w:r>
      <w:r>
        <w:rPr>
          <w:rFonts w:hint="eastAsia" w:eastAsia="仿宋_GB2312"/>
          <w:kern w:val="0"/>
          <w:sz w:val="32"/>
          <w:szCs w:val="32"/>
          <w:highlight w:val="none"/>
        </w:rPr>
        <w:t>，</w:t>
      </w:r>
      <w:r>
        <w:rPr>
          <w:rFonts w:eastAsia="仿宋_GB2312"/>
          <w:kern w:val="0"/>
          <w:sz w:val="32"/>
          <w:szCs w:val="32"/>
          <w:highlight w:val="none"/>
        </w:rPr>
        <w:t>外省市考生申领“天津健康码”时，填报健康信息中的“返回地区”、“详细地址”可按报考单位所在地填写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（二）考生应于考前使用本人手机通过“津心办”APP等渠道申领“通信大数据行程卡”。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 xml:space="preserve">）考生认真如实填写《流行病学流调表》，完成流行病学调查。若不填报，将会影响参加考试。考前流调所填信息发生变化的，应第一时间予以更新、重新填写。 </w:t>
      </w:r>
      <w:r>
        <w:rPr>
          <w:rFonts w:eastAsia="仿宋_GB2312"/>
          <w:kern w:val="0"/>
          <w:sz w:val="32"/>
          <w:szCs w:val="32"/>
          <w:highlight w:val="none"/>
        </w:rPr>
        <w:t xml:space="preserve">                                          </w:t>
      </w:r>
    </w:p>
    <w:p>
      <w:pPr>
        <w:numPr>
          <w:ilvl w:val="0"/>
          <w:numId w:val="1"/>
        </w:numPr>
        <w:adjustRightInd w:val="0"/>
        <w:spacing w:line="588" w:lineRule="exact"/>
        <w:ind w:firstLine="640" w:firstLineChars="200"/>
        <w:textAlignment w:val="baseline"/>
        <w:outlineLvl w:val="0"/>
        <w:rPr>
          <w:rFonts w:eastAsia="黑体"/>
          <w:kern w:val="0"/>
          <w:sz w:val="32"/>
          <w:szCs w:val="32"/>
          <w:highlight w:val="none"/>
        </w:rPr>
      </w:pPr>
      <w:r>
        <w:rPr>
          <w:rFonts w:eastAsia="黑体"/>
          <w:kern w:val="0"/>
          <w:sz w:val="32"/>
          <w:szCs w:val="32"/>
          <w:highlight w:val="none"/>
        </w:rPr>
        <w:t>考生参考要求</w:t>
      </w:r>
    </w:p>
    <w:p>
      <w:pPr>
        <w:autoSpaceDE w:val="0"/>
        <w:adjustRightInd w:val="0"/>
        <w:snapToGrid w:val="0"/>
        <w:spacing w:line="600" w:lineRule="exact"/>
        <w:ind w:firstLine="630"/>
        <w:textAlignment w:val="baseline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（一）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Hans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须按照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一证一码一卡一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参加考试。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考试前48小时内核酸检测阴性证明；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天津健康码绿码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（含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新冠病毒疫苗接种码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天津健康码带金盾标记，未接种新冠疫苗的考生须登记）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为通信大数据行程卡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绿卡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《流行病学调查表》流调无异常的，</w:t>
      </w:r>
      <w:r>
        <w:rPr>
          <w:rFonts w:eastAsia="仿宋_GB2312"/>
          <w:kern w:val="0"/>
          <w:sz w:val="32"/>
          <w:szCs w:val="32"/>
          <w:highlight w:val="none"/>
        </w:rPr>
        <w:t>方可</w:t>
      </w:r>
      <w:r>
        <w:rPr>
          <w:rFonts w:hint="eastAsia" w:eastAsia="仿宋_GB2312"/>
          <w:kern w:val="0"/>
          <w:sz w:val="32"/>
          <w:szCs w:val="32"/>
          <w:highlight w:val="none"/>
        </w:rPr>
        <w:t>扫描“场所码”</w:t>
      </w:r>
      <w:r>
        <w:rPr>
          <w:rFonts w:eastAsia="仿宋_GB2312"/>
          <w:kern w:val="0"/>
          <w:sz w:val="32"/>
          <w:szCs w:val="32"/>
          <w:highlight w:val="none"/>
        </w:rPr>
        <w:t>进入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医院</w:t>
      </w:r>
      <w:r>
        <w:rPr>
          <w:rFonts w:eastAsia="仿宋_GB2312"/>
          <w:kern w:val="0"/>
          <w:sz w:val="32"/>
          <w:szCs w:val="32"/>
          <w:highlight w:val="none"/>
        </w:rPr>
        <w:t>；</w:t>
      </w:r>
    </w:p>
    <w:p>
      <w:pPr>
        <w:adjustRightInd w:val="0"/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（二）考生有以下情况之一的，须持首场考试考前72小时内两次核酸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检测阴性证明（考前24小时一次，且两次间隔须超过24小时）于备用隔离考场参加考试。</w:t>
      </w:r>
    </w:p>
    <w:p>
      <w:pPr>
        <w:adjustRightIn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1．考试前7天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内有低风险区（以新型冠状病毒肺炎防控方案（第九版）最新表述为准）旅居史人员；</w:t>
      </w:r>
    </w:p>
    <w:p>
      <w:pPr>
        <w:adjustRightInd w:val="0"/>
        <w:spacing w:line="600" w:lineRule="exact"/>
        <w:ind w:firstLine="640" w:firstLineChars="200"/>
        <w:textAlignment w:val="baseline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2. 考试前7天内</w:t>
      </w:r>
      <w:r>
        <w:rPr>
          <w:rFonts w:eastAsia="仿宋_GB2312"/>
          <w:kern w:val="0"/>
          <w:sz w:val="32"/>
          <w:szCs w:val="32"/>
          <w:highlight w:val="none"/>
        </w:rPr>
        <w:t>非管控人员报告新冠病毒感染者所在县（市、区、旗）来津、返津的可自由流动的（7日内非管控人员报告新冠病毒感染者所在县，参见“津云”APP-“战疫”栏目-最新发布的“排查管控范围”</w:t>
      </w:r>
      <w:r>
        <w:rPr>
          <w:rFonts w:hint="eastAsia" w:eastAsia="仿宋_GB2312"/>
          <w:kern w:val="0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3</w:t>
      </w:r>
      <w:r>
        <w:rPr>
          <w:rFonts w:eastAsia="仿宋_GB2312"/>
          <w:kern w:val="0"/>
          <w:sz w:val="32"/>
          <w:szCs w:val="32"/>
          <w:highlight w:val="none"/>
        </w:rPr>
        <w:t>．考试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前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7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天</w:t>
      </w:r>
      <w:r>
        <w:rPr>
          <w:rFonts w:eastAsia="仿宋_GB2312"/>
          <w:kern w:val="0"/>
          <w:sz w:val="32"/>
          <w:szCs w:val="32"/>
          <w:highlight w:val="none"/>
        </w:rPr>
        <w:t>内有发热、干咳、乏力、咽痛、嗅（味）觉减退、腹泻等疑似症状，经诊断排除新冠肺炎的。</w:t>
      </w:r>
    </w:p>
    <w:p>
      <w:pPr>
        <w:numPr>
          <w:ilvl w:val="0"/>
          <w:numId w:val="1"/>
        </w:numPr>
        <w:adjustRightInd w:val="0"/>
        <w:spacing w:line="588" w:lineRule="exact"/>
        <w:ind w:firstLine="640" w:firstLineChars="200"/>
        <w:textAlignment w:val="baseline"/>
        <w:outlineLvl w:val="0"/>
        <w:rPr>
          <w:rFonts w:eastAsia="黑体"/>
          <w:kern w:val="0"/>
          <w:sz w:val="32"/>
          <w:szCs w:val="32"/>
          <w:highlight w:val="none"/>
        </w:rPr>
      </w:pPr>
      <w:r>
        <w:rPr>
          <w:rFonts w:eastAsia="黑体"/>
          <w:kern w:val="0"/>
          <w:sz w:val="32"/>
          <w:szCs w:val="32"/>
          <w:highlight w:val="none"/>
        </w:rPr>
        <w:t>严格遵守考试要求</w:t>
      </w:r>
    </w:p>
    <w:p>
      <w:pPr>
        <w:adjustRightInd w:val="0"/>
        <w:spacing w:line="588" w:lineRule="exact"/>
        <w:ind w:left="5" w:firstLine="636" w:firstLineChars="198"/>
        <w:textAlignment w:val="baseline"/>
        <w:rPr>
          <w:rFonts w:eastAsia="楷体_GB2312"/>
          <w:b/>
          <w:kern w:val="0"/>
          <w:sz w:val="32"/>
          <w:szCs w:val="32"/>
          <w:highlight w:val="none"/>
        </w:rPr>
      </w:pPr>
      <w:r>
        <w:rPr>
          <w:rFonts w:eastAsia="楷体_GB2312"/>
          <w:b/>
          <w:kern w:val="0"/>
          <w:sz w:val="32"/>
          <w:szCs w:val="32"/>
          <w:highlight w:val="none"/>
        </w:rPr>
        <w:t>（一）进入考点所需的证件、材料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1．准考证、有效身份证；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2．天津健康码“绿码”；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3．通信大数据行程卡“绿卡”；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4．新冠病毒疫苗接种码（已接种疫苗考生，凭有效电子标识或纸质接种证明参加考试；未接种疫苗考生，在现场进行登记后参加考试）；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Hans"/>
        </w:rPr>
        <w:t>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流行病学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流调表》（附件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，打印填写并经本人签字）；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．符合时间要求的核酸检测阴性证明（为防止因网络原因现场无法查询电子结果，建议携带纸质检测报告，同时截屏电子报告备查）。</w:t>
      </w:r>
    </w:p>
    <w:p>
      <w:pPr>
        <w:adjustRightInd w:val="0"/>
        <w:spacing w:line="588" w:lineRule="exact"/>
        <w:ind w:left="725"/>
        <w:textAlignment w:val="baseline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（二）考试期间有关要求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1．考试当日，至少于开考前60分钟到达考点；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2．进入考点后，积极配合测温、验码等健康检查工作；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3．除核验身份时，全程佩戴一次性医用口罩或医用外科口罩；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4．进、出考场或如厕时与他人保持1米以上距离，避免近距离接触交流；</w:t>
      </w:r>
    </w:p>
    <w:p>
      <w:pPr>
        <w:adjustRightInd w:val="0"/>
        <w:spacing w:line="588" w:lineRule="exact"/>
        <w:ind w:firstLine="705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．考试过程中发现体温达到或超过37.3℃，或出现咳嗽、咽干、呼吸困难、呕吐、腹泻、嗅觉或味觉减退等疑似症状，由考点医护人员进行初步诊断，并视情况安排到备用隔离考场参加考试，或者立即采取隔离措施，送往定点医院进行医治。</w:t>
      </w:r>
    </w:p>
    <w:p>
      <w:pPr>
        <w:numPr>
          <w:ilvl w:val="0"/>
          <w:numId w:val="1"/>
        </w:numPr>
        <w:adjustRightInd w:val="0"/>
        <w:spacing w:line="588" w:lineRule="exact"/>
        <w:ind w:firstLine="640" w:firstLineChars="200"/>
        <w:textAlignment w:val="baseline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主动进行健康追溯</w:t>
      </w:r>
    </w:p>
    <w:p>
      <w:pPr>
        <w:adjustRightInd w:val="0"/>
        <w:spacing w:line="588" w:lineRule="exact"/>
        <w:ind w:firstLine="624" w:firstLineChars="195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所有考生均须进行考后健康监测。如有发热或新冠肺炎疑似症状等异常的，应及时就医排除新冠肺炎，并向招考单位报告有关情况。</w:t>
      </w:r>
    </w:p>
    <w:p>
      <w:pPr>
        <w:numPr>
          <w:ilvl w:val="0"/>
          <w:numId w:val="1"/>
        </w:numPr>
        <w:adjustRightInd w:val="0"/>
        <w:spacing w:line="588" w:lineRule="exact"/>
        <w:ind w:firstLine="640" w:firstLineChars="200"/>
        <w:textAlignment w:val="baseline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温馨提示</w:t>
      </w:r>
    </w:p>
    <w:p>
      <w:pPr>
        <w:spacing w:line="588" w:lineRule="exact"/>
        <w:ind w:firstLine="633" w:firstLineChars="19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（一）《</w:t>
      </w:r>
      <w:r>
        <w:rPr>
          <w:rFonts w:hint="eastAsia" w:eastAsia="仿宋_GB2312"/>
          <w:kern w:val="0"/>
          <w:sz w:val="32"/>
          <w:szCs w:val="32"/>
        </w:rPr>
        <w:t>流行病学</w:t>
      </w:r>
      <w:r>
        <w:rPr>
          <w:rFonts w:eastAsia="仿宋_GB2312"/>
          <w:kern w:val="0"/>
          <w:sz w:val="32"/>
          <w:szCs w:val="32"/>
        </w:rPr>
        <w:t>流调表》事关考生和工作人员健康安全，请报考人员高度重视，如实填报，避免影响疫情防控工作。</w:t>
      </w:r>
    </w:p>
    <w:p>
      <w:pPr>
        <w:adjustRightInd w:val="0"/>
        <w:spacing w:line="588" w:lineRule="exact"/>
        <w:ind w:firstLine="630" w:firstLineChars="197"/>
        <w:jc w:val="distribute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考生应自觉加强个人防护，主动减少外出和聚集，做到非必要不前往国（境）外及国内疫情中高风险地区。天津本地考生考前14天内非必要不离津。外省市来津考生，要提前了解来津、离津的最新疫情防控政策，合理安排出行和食宿，入住酒店应选择单人单间。（各地疫情防控措施参见“中国政府网”小程序“疫情服务”或查询网址</w:t>
      </w:r>
    </w:p>
    <w:p>
      <w:pPr>
        <w:spacing w:line="588" w:lineRule="exact"/>
        <w:jc w:val="distribut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http://www.gov.cn/zhuanti/2021yqfkgdzc/index.htm#/）</w:t>
      </w:r>
    </w:p>
    <w:p>
      <w:pPr>
        <w:spacing w:line="588" w:lineRule="exact"/>
        <w:ind w:firstLine="633" w:firstLineChars="19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（三）考生可通过微信搜索“国家政务服务平台”小程序，查询核酸检测结果、新冠病毒疫苗接种信息、全国核酸检测机构、各地疫情风险等级等信息。 </w:t>
      </w:r>
    </w:p>
    <w:p>
      <w:pPr>
        <w:spacing w:line="588" w:lineRule="exact"/>
        <w:ind w:firstLine="624" w:firstLineChars="19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（四）请考生按要求合理安排核酸检测时间，确保考试入场前查询到检测结果，以免影响参加考试。</w:t>
      </w:r>
    </w:p>
    <w:p>
      <w:pPr>
        <w:spacing w:line="588" w:lineRule="exact"/>
        <w:ind w:firstLine="624" w:firstLineChars="19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（五）考生应提前准备符合防护要求的医用口罩，带呼吸阀口罩及一般性装饰口罩不得使用。</w:t>
      </w:r>
    </w:p>
    <w:p>
      <w:pPr>
        <w:spacing w:line="588" w:lineRule="exact"/>
        <w:ind w:firstLine="624" w:firstLineChars="19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（六）笔试疫情防控措施，将根据疫情防控形势适时调整。请报考人员随时关注招考专题网站和“津云”APP-“战疫”栏目，及时了解招考和防疫相关信息，以免影响参加考试。</w:t>
      </w:r>
    </w:p>
    <w:p>
      <w:pPr>
        <w:spacing w:line="588" w:lineRule="exact"/>
        <w:ind w:firstLine="633" w:firstLineChars="198"/>
        <w:rPr>
          <w:rFonts w:eastAsia="仿宋_GB2312"/>
          <w:b/>
          <w:kern w:val="0"/>
          <w:sz w:val="34"/>
          <w:szCs w:val="34"/>
        </w:rPr>
      </w:pPr>
      <w:r>
        <w:rPr>
          <w:rFonts w:eastAsia="黑体"/>
          <w:bCs/>
          <w:kern w:val="0"/>
          <w:sz w:val="32"/>
          <w:szCs w:val="32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</w:t>
      </w:r>
    </w:p>
    <w:p>
      <w:pPr>
        <w:adjustRightInd w:val="0"/>
        <w:spacing w:line="588" w:lineRule="exact"/>
        <w:jc w:val="center"/>
        <w:textAlignment w:val="baseline"/>
        <w:rPr>
          <w:rFonts w:hint="default" w:eastAsia="仿宋_GB2312"/>
          <w:bCs/>
          <w:kern w:val="0"/>
          <w:sz w:val="34"/>
          <w:szCs w:val="34"/>
          <w:lang w:val="en-US" w:eastAsia="zh-Hans"/>
        </w:rPr>
      </w:pPr>
      <w:r>
        <w:rPr>
          <w:rFonts w:eastAsia="仿宋_GB2312"/>
          <w:bCs/>
          <w:kern w:val="0"/>
          <w:sz w:val="34"/>
          <w:szCs w:val="34"/>
        </w:rPr>
        <w:t xml:space="preserve">                      天津</w:t>
      </w:r>
      <w:r>
        <w:rPr>
          <w:rFonts w:hint="eastAsia" w:eastAsia="仿宋_GB2312"/>
          <w:bCs/>
          <w:kern w:val="0"/>
          <w:sz w:val="34"/>
          <w:szCs w:val="34"/>
          <w:lang w:val="en-US" w:eastAsia="zh-Hans"/>
        </w:rPr>
        <w:t>中医药大学第</w:t>
      </w:r>
      <w:r>
        <w:rPr>
          <w:rFonts w:hint="eastAsia" w:eastAsia="仿宋_GB2312"/>
          <w:bCs/>
          <w:kern w:val="0"/>
          <w:sz w:val="34"/>
          <w:szCs w:val="34"/>
          <w:lang w:val="en-US" w:eastAsia="zh-CN"/>
        </w:rPr>
        <w:t>二</w:t>
      </w:r>
      <w:r>
        <w:rPr>
          <w:rFonts w:hint="eastAsia" w:eastAsia="仿宋_GB2312"/>
          <w:bCs/>
          <w:kern w:val="0"/>
          <w:sz w:val="34"/>
          <w:szCs w:val="34"/>
          <w:lang w:val="en-US" w:eastAsia="zh-Hans"/>
        </w:rPr>
        <w:t>附属医院</w:t>
      </w:r>
    </w:p>
    <w:p>
      <w:pPr>
        <w:spacing w:line="560" w:lineRule="exact"/>
        <w:ind w:left="1590"/>
        <w:jc w:val="center"/>
        <w:rPr>
          <w:rFonts w:eastAsia="仿宋_GB2312"/>
          <w:bCs/>
          <w:kern w:val="0"/>
          <w:sz w:val="34"/>
          <w:szCs w:val="34"/>
        </w:rPr>
      </w:pPr>
      <w:r>
        <w:rPr>
          <w:rFonts w:eastAsia="仿宋_GB2312"/>
          <w:bCs/>
          <w:kern w:val="0"/>
          <w:sz w:val="34"/>
          <w:szCs w:val="34"/>
        </w:rPr>
        <w:t xml:space="preserve">             2022年</w:t>
      </w:r>
      <w:r>
        <w:rPr>
          <w:rFonts w:hint="eastAsia" w:eastAsia="仿宋_GB2312"/>
          <w:bCs/>
          <w:kern w:val="0"/>
          <w:sz w:val="34"/>
          <w:szCs w:val="34"/>
          <w:lang w:val="en-US" w:eastAsia="zh-CN"/>
        </w:rPr>
        <w:t>8</w:t>
      </w:r>
      <w:r>
        <w:rPr>
          <w:rFonts w:eastAsia="仿宋_GB2312"/>
          <w:bCs/>
          <w:kern w:val="0"/>
          <w:sz w:val="34"/>
          <w:szCs w:val="34"/>
        </w:rPr>
        <w:t>月</w:t>
      </w:r>
      <w:r>
        <w:rPr>
          <w:rFonts w:hint="eastAsia" w:eastAsia="仿宋_GB2312"/>
          <w:bCs/>
          <w:kern w:val="0"/>
          <w:sz w:val="34"/>
          <w:szCs w:val="34"/>
          <w:lang w:val="en-US" w:eastAsia="zh-CN"/>
        </w:rPr>
        <w:t>13</w:t>
      </w:r>
      <w:r>
        <w:rPr>
          <w:rFonts w:eastAsia="仿宋_GB2312"/>
          <w:bCs/>
          <w:kern w:val="0"/>
          <w:sz w:val="34"/>
          <w:szCs w:val="34"/>
        </w:rPr>
        <w:t>日</w:t>
      </w:r>
    </w:p>
    <w:p>
      <w:pPr>
        <w:spacing w:line="560" w:lineRule="exact"/>
        <w:ind w:left="1590"/>
        <w:jc w:val="center"/>
        <w:rPr>
          <w:rFonts w:eastAsia="仿宋_GB2312"/>
          <w:bCs/>
          <w:kern w:val="0"/>
          <w:sz w:val="34"/>
          <w:szCs w:val="34"/>
        </w:rPr>
      </w:pPr>
    </w:p>
    <w:p>
      <w:pPr>
        <w:spacing w:line="560" w:lineRule="exact"/>
        <w:ind w:left="1590"/>
        <w:jc w:val="center"/>
        <w:rPr>
          <w:rFonts w:eastAsia="仿宋_GB2312"/>
          <w:bCs/>
          <w:kern w:val="0"/>
          <w:sz w:val="34"/>
          <w:szCs w:val="34"/>
        </w:rPr>
      </w:pPr>
    </w:p>
    <w:p>
      <w:pPr>
        <w:spacing w:line="560" w:lineRule="exact"/>
        <w:ind w:left="1590"/>
        <w:jc w:val="center"/>
        <w:rPr>
          <w:rFonts w:eastAsia="仿宋_GB2312"/>
          <w:bCs/>
          <w:kern w:val="0"/>
          <w:sz w:val="34"/>
          <w:szCs w:val="34"/>
        </w:rPr>
      </w:pPr>
    </w:p>
    <w:p>
      <w:pPr>
        <w:spacing w:line="560" w:lineRule="exact"/>
        <w:ind w:left="1590"/>
        <w:jc w:val="center"/>
        <w:rPr>
          <w:rFonts w:eastAsia="仿宋_GB2312"/>
          <w:bCs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Cs/>
          <w:kern w:val="0"/>
          <w:sz w:val="34"/>
          <w:szCs w:val="34"/>
        </w:rPr>
      </w:pPr>
    </w:p>
    <w:p>
      <w:pPr>
        <w:pStyle w:val="7"/>
        <w:keepNext/>
        <w:keepLines/>
        <w:spacing w:after="0" w:line="588" w:lineRule="exac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44"/>
          <w:szCs w:val="44"/>
          <w:lang w:val="en-US" w:eastAsia="zh-CN"/>
        </w:rPr>
      </w:pPr>
    </w:p>
    <w:p>
      <w:pPr>
        <w:pStyle w:val="7"/>
        <w:keepNext/>
        <w:keepLines/>
        <w:spacing w:after="0" w:line="588" w:lineRule="exact"/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44"/>
          <w:szCs w:val="44"/>
          <w:lang w:val="en-US" w:eastAsia="zh-CN"/>
        </w:rPr>
        <w:t>流行病学调查表</w:t>
      </w:r>
    </w:p>
    <w:p>
      <w:pPr>
        <w:ind w:firstLine="600" w:firstLineChars="250"/>
        <w:rPr>
          <w:rFonts w:hint="default" w:eastAsia="仿宋_GB2312"/>
          <w:color w:val="FF0000"/>
          <w:sz w:val="24"/>
          <w:szCs w:val="24"/>
          <w:u w:val="single"/>
          <w:lang w:val="en-US" w:eastAsia="zh-CN"/>
        </w:rPr>
      </w:pPr>
      <w:r>
        <w:rPr>
          <w:rFonts w:eastAsia="仿宋_GB2312"/>
          <w:sz w:val="24"/>
          <w:szCs w:val="24"/>
        </w:rPr>
        <w:t>姓名：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eastAsia="仿宋_GB2312"/>
          <w:sz w:val="24"/>
          <w:szCs w:val="24"/>
          <w:lang w:eastAsia="zh-CN"/>
        </w:rPr>
        <w:t>性别：</w:t>
      </w:r>
      <w:r>
        <w:rPr>
          <w:rFonts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eastAsia="仿宋_GB2312"/>
          <w:sz w:val="24"/>
          <w:szCs w:val="24"/>
        </w:rPr>
        <w:t>身份证号：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color w:val="auto"/>
          <w:sz w:val="24"/>
          <w:szCs w:val="24"/>
          <w:u w:val="single"/>
        </w:rPr>
        <w:t xml:space="preserve"> 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24"/>
          <w:szCs w:val="24"/>
        </w:rPr>
        <w:t>联系方式：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eastAsia="仿宋_GB2312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24"/>
          <w:szCs w:val="24"/>
          <w:u w:val="single"/>
          <w:lang w:val="en-US" w:eastAsia="zh-CN"/>
        </w:rPr>
        <w:t xml:space="preserve">    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1.近14天内有无港台地区、境外旅行史和居住史：有（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若有，您属于：隔离满7天，居家健康监测满3天（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）；隔离满7天，居家健康监测未满3天（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）；隔离未满7天（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2.近7天有无澳门地区旅居史：有（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若有，您属于：不符合入境防疫标准（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）；符合入境防疫标准（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3.近7天有境内高中低风险区旅居史，接触境内高中低风险区旅居史的人员：有（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若有，您属于：高风险区（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）；中风险区（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）；低风险区（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），填写优先级为高风险区＞中风险区＞低风险区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4.判定为新冠病毒感染者（确诊病例及无症状感染者）/疑似病例：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）若是，您属于：疑似病例（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）不符合出院/舱标准（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符合出院/舱标准，离院/舱未满7天（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符合出院/舱标准，离院/舱满7天未满28天者（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复阳患者（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），如为复阳患者，核酸检测试剂盒临界值为：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，CT值为：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5.判定为密切接触者或密切接触者的密切接触者：是（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若是，您属于：未满隔离期（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）解除集中隔离未满3日（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解除集中隔离未满7日（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）解除居家隔离（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6.是否为应隔离管控人员或处于隔离管控期间：是（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7.是否为应居家健康监测人员或处于居家健康监测期间：是（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8.是否为居家健康监测人员的同住人员：是（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9.近7天内是否出现过发热（体温≥37.3℃），呼吸道可疑症状（如干咳、咽痛），乏力，腹泻，新发咽干、咽痒、嗅（味）觉减退等症状者：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10.是否为离开风险区域、重点疫情地区未满10日的人员：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11.健康码是否为黄码或红码：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）若是，您属于：红码（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）黄码（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12.通信大数据行程卡是否为“非绿卡”：是（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13.是否为解除集中隔离未满7日的人员：是（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14.是否为高风险岗位从业人员：是（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若是，您属于：闭环管理期间（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）脱离岗位未满7天（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）脱离岗位满7天，如脱离岗位满7天需提供解除隔离证明及解除隔离时核酸检测阴性证明。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15.7日内具有天津以外旅居史人员，是否向属地社区或旅店宾馆等落脚地报备：是（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）。</w:t>
      </w:r>
    </w:p>
    <w:p>
      <w:pPr>
        <w:overflowPunct w:val="0"/>
        <w:topLinePunct/>
        <w:autoSpaceDE w:val="0"/>
        <w:autoSpaceDN w:val="0"/>
        <w:spacing w:line="240" w:lineRule="auto"/>
        <w:ind w:firstLine="562" w:firstLineChars="200"/>
        <w:rPr>
          <w:rFonts w:eastAsia="仿宋_GB2312"/>
          <w:b/>
          <w:bCs/>
          <w:color w:val="auto"/>
          <w:sz w:val="28"/>
          <w:szCs w:val="28"/>
          <w:highlight w:val="none"/>
        </w:rPr>
      </w:pPr>
    </w:p>
    <w:p>
      <w:pPr>
        <w:overflowPunct w:val="0"/>
        <w:topLinePunct/>
        <w:autoSpaceDE w:val="0"/>
        <w:autoSpaceDN w:val="0"/>
        <w:spacing w:line="240" w:lineRule="auto"/>
        <w:ind w:firstLine="562" w:firstLineChars="200"/>
      </w:pPr>
      <w:r>
        <w:rPr>
          <w:rFonts w:eastAsia="仿宋_GB2312"/>
          <w:b/>
          <w:bCs/>
          <w:color w:val="auto"/>
          <w:sz w:val="28"/>
          <w:szCs w:val="28"/>
          <w:highlight w:val="none"/>
        </w:rPr>
        <w:t>本人确认以上情况属实。签字：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6BC7A"/>
    <w:multiLevelType w:val="singleLevel"/>
    <w:tmpl w:val="AFE6BC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4AEB0EA5"/>
    <w:rsid w:val="4AE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color w:val="343435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2022-08-13T13:06:00Z</dcterms:created>
  <dc:creator>伦</dc:creator>
  <cp:lastModifiedBy>伦</cp:lastModifiedBy>
  <dcterms:modified xsi:type="dcterms:W3CDTF">2022-08-13T13:07:34Z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8A6431B01D5D4E36B964CDE2ED06661F</vt:lpwstr>
  </property>
</Properties>
</file>